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  <w:drawing>
          <wp:inline distB="152400" distT="152400" distL="152400" distR="152400">
            <wp:extent cx="1216365" cy="48753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6365" cy="4875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5.10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Babysitting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policy has been implemented to provide clarification of some points regarding private babysitting arrangements between staff and parents/carers.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Implementation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Preschool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will not be responsible for any private babysitting arrangements or agreements made between staff members and third parties i.e. parents, committee members or suppliers and associates.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management team must be advised if a private arrangement has been made between a staff member and a person associated with the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Preschool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Out of hours babysitting arrangements must not interfere with a staff members’ employment at the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Preschool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Confidentiality by staff with regard to other staff, children, families and associates of the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Preschool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must be adhered to and respected at all times.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Preschool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will not be held responsible for any health and safety or other issues that may arise from these private arrangements.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 member of staff will take a child away from the setting unless they are a named person on the child’s records.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May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