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-20178</wp:posOffset>
            </wp:positionH>
            <wp:positionV relativeFrom="paragraph">
              <wp:posOffset>-15208</wp:posOffset>
            </wp:positionV>
            <wp:extent cx="1924738" cy="769895"/>
            <wp:effectExtent b="0" l="0" r="0" t="0"/>
            <wp:wrapSquare wrapText="bothSides" distB="152400" distT="152400" distL="152400" distR="152400"/>
            <wp:docPr id="107374182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738" cy="769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.3 Supporting children with special educational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Policy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provide an environment in which all children, including those with special educational needs (SEN), are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supported to reach their full potential.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regard for the Special Educational Needs Code of Practice (2014).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ensure Nutley Pre-school is inclusive to all children with special educational needs.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support parents and children with special educational needs.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identify the specific needs of children with special educational needs and meet those needs through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range of SEN strategies.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work in partnership with parents and other agencies in meeting individual children's needs.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monitor and review our policy, practice and provision and, if necessary, make adjustments.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designate a member of staff to be the Special Educational Needs Co-ordinator (SENCO) and give her name to parents.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ensure that the provision for children with special educational needs is the responsibility of all members of Nutley Pre-school.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ensure that our inclusive admissions practice ensures equality of access and opportunity.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use the graduated response system for identifying, assessing and responding to children's special educational needs.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work closely with the parents of children with special educational needs to create and maintain a positive partnership.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ensure that parents are informed at all stages of the assessment, planning, provision and review of their children's education.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provide parents with information on sources of independent advice and support.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liaise with other professionals involved with children with special educational needs and their families, including in connection with transfer arrangements to other settings and schools.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provide a broad, balanced and differentiated curriculum for all children with special educational needs.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use a system of planning, implementing, monitoring, evaluating and reviewing Early Years Intervention Plan (EYIP) for children with special educational needs.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ensure that children with special educational needs are appropriately involved at all stages of the graduated response, taking into account their levels of ability.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Early Support in place for identifying and supporting children with special educational needs.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systems in place for working with other agencies through each stage of the Common Assessment Framework (CAF) and person centred Education, Health and Care (EHC) plan process.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use a system for keeping records of the assessment, planning, provision and review for children with special educational needs.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provide resources (human and financial) to implement our Supporting Children with Special Educational Needs Policy.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provide in-service training for parents, practitioners and volunteers.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raise awareness of any specialism the setting has to offer, e.g. Makaton trained staff.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ensure the effectiveness of our special educational needs provision by collecting information from a range of sources e.g. Early Years Intervention Plan reviews, staff and management meetings, parental and external agency's views, inspections and complaints. This information is collated, evaluated and reviewed annually.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provide information of our provision in the Local Offer.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provide a complaints procedure.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monitor and review our policy annually.</w:t>
      </w:r>
    </w:p>
    <w:sectPr>
      <w:headerReference r:id="rId8" w:type="default"/>
      <w:footerReference r:id="rId9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180" w:hanging="18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60" w:hanging="18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40" w:hanging="1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20" w:hanging="18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900" w:hanging="18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80" w:hanging="18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60" w:hanging="18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40" w:hanging="18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20" w:hanging="18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Bullet">
    <w:name w:val="Bullet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ksn5YWhZAzdtg8m7nVqaAgBxsg==">AMUW2mWmWjNLX7UUjPH9biy+8d9UqbhhVLhGpawGSycdC/qPxL3vanW7jyxNB7HLaPKhKQcGZlGYrkrma2Un6AovpYstAPN8LHvk4tcYSHtrl26vaf8gfLY=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